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4C45F85" wp14:editId="1C913E6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B146531" wp14:editId="287AC5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905B0EA" wp14:editId="3A60BDA0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A173A">
            <w:rPr>
              <w:b/>
              <w:sz w:val="40"/>
              <w:szCs w:val="20"/>
            </w:rPr>
            <w:t>3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A173A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  <w:bookmarkStart w:id="0" w:name="_GoBack"/>
      <w:bookmarkEnd w:id="0"/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C689C" w:rsidRDefault="00813EE6" w:rsidP="006C689C">
            <w:pPr>
              <w:pStyle w:val="Hlavika"/>
            </w:pPr>
            <w:r>
              <w:t>Manuál procedúr</w:t>
            </w:r>
          </w:p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C689C" w:rsidRDefault="006C689C" w:rsidP="006C689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:rsidR="009836CF" w:rsidRPr="009836CF" w:rsidRDefault="006C689C" w:rsidP="006C689C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2A1CD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A2CD399E15E44BC59049896DE3876F4A"/>
            </w:placeholder>
            <w:date w:fullDate="2014-12-17T00:00:00Z">
              <w:dateFormat w:val="dd.MM.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00978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2064137319"/>
            <w:placeholder>
              <w:docPart w:val="4BDBD5E9AFED43D88630F59EEF6F57A6"/>
            </w:placeholder>
            <w:date w:fullDate="2014-12-17T00:00:00Z">
              <w:dateFormat w:val="dd.MM.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00978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976A29" w:rsidRDefault="00976A29" w:rsidP="006479DF">
      <w:pPr>
        <w:sectPr w:rsidR="00976A29" w:rsidSect="00627EA3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 w:rsidRPr="00813EE6">
        <w:rPr>
          <w:rFonts w:eastAsiaTheme="minorEastAsia"/>
          <w:sz w:val="40"/>
          <w:szCs w:val="22"/>
        </w:rPr>
        <w:lastRenderedPageBreak/>
        <w:t xml:space="preserve">Názov </w:t>
      </w:r>
      <w:r w:rsidR="00E20CE7">
        <w:rPr>
          <w:rFonts w:eastAsiaTheme="minorEastAsia"/>
          <w:sz w:val="40"/>
          <w:szCs w:val="22"/>
        </w:rPr>
        <w:t>subjektu</w:t>
      </w:r>
      <w:r w:rsidR="00AF35E0">
        <w:rPr>
          <w:rStyle w:val="Odkaznapoznmkupodiarou"/>
          <w:rFonts w:eastAsiaTheme="minorEastAsia"/>
          <w:sz w:val="40"/>
          <w:szCs w:val="22"/>
        </w:rPr>
        <w:footnoteReference w:id="1"/>
      </w:r>
    </w:p>
    <w:p w:rsidR="00813EE6" w:rsidRPr="00813EE6" w:rsidRDefault="00813EE6" w:rsidP="00813EE6">
      <w:pPr>
        <w:spacing w:after="200" w:line="276" w:lineRule="auto"/>
        <w:rPr>
          <w:rFonts w:eastAsiaTheme="minorEastAsia"/>
          <w:sz w:val="4"/>
          <w:szCs w:val="4"/>
        </w:rPr>
      </w:pPr>
      <w:r w:rsidRPr="00813EE6">
        <w:rPr>
          <w:rFonts w:eastAsiaTheme="minorEastAsia"/>
          <w:sz w:val="21"/>
          <w:szCs w:val="21"/>
        </w:rPr>
        <w:t xml:space="preserve">          </w:t>
      </w:r>
      <w:r w:rsidRPr="00813EE6">
        <w:rPr>
          <w:rFonts w:eastAsiaTheme="minorEastAsia"/>
          <w:noProof/>
          <w:szCs w:val="22"/>
        </w:rPr>
        <w:drawing>
          <wp:inline distT="0" distB="0" distL="0" distR="0" wp14:anchorId="49422401" wp14:editId="096C1E19">
            <wp:extent cx="885825" cy="1066800"/>
            <wp:effectExtent l="19050" t="0" r="9525" b="0"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EE6">
        <w:rPr>
          <w:rFonts w:eastAsiaTheme="minorEastAsia"/>
          <w:sz w:val="21"/>
          <w:szCs w:val="21"/>
        </w:rPr>
        <w:t xml:space="preserve">                                     </w:t>
      </w:r>
      <w:r w:rsidRPr="00813EE6">
        <w:rPr>
          <w:rFonts w:eastAsiaTheme="minorEastAsia"/>
          <w:szCs w:val="22"/>
        </w:rPr>
        <w:tab/>
        <w:t xml:space="preserve">                          </w:t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object w:dxaOrig="2550" w:dyaOrig="1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64.5pt;flip:x" o:ole="">
            <v:imagedata r:id="rId15" o:title=""/>
          </v:shape>
          <o:OLEObject Type="Embed" ProgID="PBrush" ShapeID="_x0000_i1025" DrawAspect="Content" ObjectID="_1480325575" r:id="rId16"/>
        </w:object>
      </w:r>
    </w:p>
    <w:p w:rsidR="00813EE6" w:rsidRPr="00813EE6" w:rsidRDefault="00813EE6" w:rsidP="00813EE6">
      <w:pPr>
        <w:spacing w:after="200" w:line="276" w:lineRule="auto"/>
        <w:rPr>
          <w:rFonts w:eastAsiaTheme="minorEastAsia"/>
          <w:color w:val="0070C0"/>
          <w:sz w:val="22"/>
          <w:szCs w:val="22"/>
        </w:rPr>
      </w:pP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  <w:t xml:space="preserve">                  </w:t>
      </w:r>
      <w:r w:rsidRPr="00813EE6">
        <w:rPr>
          <w:rFonts w:eastAsiaTheme="minorEastAsia"/>
          <w:color w:val="0070C0"/>
          <w:sz w:val="22"/>
          <w:szCs w:val="22"/>
        </w:rPr>
        <w:t>Európska únia</w:t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</w:p>
    <w:p w:rsidR="00813EE6" w:rsidRPr="00813EE6" w:rsidRDefault="00813EE6" w:rsidP="00813EE6">
      <w:pPr>
        <w:jc w:val="center"/>
        <w:rPr>
          <w:sz w:val="40"/>
          <w:lang w:eastAsia="cs-CZ"/>
        </w:rPr>
      </w:pPr>
    </w:p>
    <w:p w:rsidR="00813EE6" w:rsidRPr="00813EE6" w:rsidRDefault="00813EE6" w:rsidP="00813EE6">
      <w:pPr>
        <w:jc w:val="center"/>
        <w:rPr>
          <w:sz w:val="40"/>
          <w:lang w:eastAsia="cs-CZ"/>
        </w:rPr>
      </w:pPr>
      <w:r w:rsidRPr="00813EE6">
        <w:rPr>
          <w:sz w:val="40"/>
          <w:lang w:eastAsia="cs-CZ"/>
        </w:rPr>
        <w:t>Manuál procedúr RO/SO/gestora HP</w:t>
      </w:r>
    </w:p>
    <w:p w:rsidR="00813EE6" w:rsidRPr="00813EE6" w:rsidRDefault="00813EE6" w:rsidP="00813EE6">
      <w:pPr>
        <w:jc w:val="center"/>
        <w:rPr>
          <w:sz w:val="20"/>
          <w:lang w:eastAsia="cs-CZ"/>
        </w:rPr>
      </w:pPr>
    </w:p>
    <w:p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>Verzia č. x</w:t>
      </w:r>
    </w:p>
    <w:p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Dátum </w:t>
      </w:r>
      <w:r w:rsidR="00ED5216">
        <w:rPr>
          <w:i/>
          <w:sz w:val="20"/>
          <w:szCs w:val="20"/>
          <w:u w:val="single"/>
          <w:lang w:eastAsia="cs-CZ"/>
        </w:rPr>
        <w:t xml:space="preserve">účinnosti </w:t>
      </w:r>
      <w:r w:rsidRPr="00813EE6">
        <w:rPr>
          <w:sz w:val="20"/>
          <w:szCs w:val="20"/>
          <w:lang w:eastAsia="cs-CZ"/>
        </w:rPr>
        <w:t>od:</w:t>
      </w:r>
    </w:p>
    <w:p w:rsidR="00ED5216" w:rsidRPr="00813EE6" w:rsidRDefault="00813EE6" w:rsidP="000A173A">
      <w:pPr>
        <w:spacing w:after="200" w:line="276" w:lineRule="auto"/>
        <w:jc w:val="center"/>
        <w:rPr>
          <w:rFonts w:eastAsiaTheme="minorEastAsia"/>
          <w:b/>
          <w:szCs w:val="20"/>
        </w:rPr>
      </w:pPr>
      <w:r w:rsidRPr="00813EE6">
        <w:rPr>
          <w:rFonts w:eastAsiaTheme="minorEastAsia"/>
          <w:noProof/>
          <w:szCs w:val="20"/>
        </w:rPr>
        <w:t>Logo OP</w:t>
      </w:r>
    </w:p>
    <w:p w:rsidR="00531DFC" w:rsidRDefault="00531DFC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:rsidR="00ED5216" w:rsidRPr="00813EE6" w:rsidRDefault="00ED521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>
        <w:rPr>
          <w:rFonts w:eastAsiaTheme="minorEastAsia"/>
          <w:b/>
          <w:szCs w:val="20"/>
        </w:rPr>
        <w:t>Vypracoval:</w:t>
      </w:r>
      <w:r w:rsidRPr="00ED5216">
        <w:rPr>
          <w:rFonts w:eastAsiaTheme="minorEastAsia"/>
          <w:szCs w:val="20"/>
        </w:rPr>
        <w:t xml:space="preserve"> </w:t>
      </w:r>
      <w:r w:rsidRPr="00813EE6">
        <w:rPr>
          <w:rFonts w:eastAsiaTheme="minorEastAsia"/>
          <w:szCs w:val="20"/>
        </w:rPr>
        <w:t xml:space="preserve">Titul, meno, priezvisko                                </w:t>
      </w:r>
      <w:r w:rsidRPr="00813EE6">
        <w:rPr>
          <w:rFonts w:eastAsiaTheme="minorEastAsia"/>
          <w:szCs w:val="20"/>
        </w:rPr>
        <w:tab/>
      </w:r>
    </w:p>
    <w:p w:rsidR="00ED5216" w:rsidRPr="00813EE6" w:rsidRDefault="00ED521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:rsidR="00ED5216" w:rsidRPr="00813EE6" w:rsidRDefault="00ED521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Dátum:    </w:t>
      </w:r>
    </w:p>
    <w:p w:rsidR="00ED5216" w:rsidRPr="00813EE6" w:rsidRDefault="00ED521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Podpis:         </w:t>
      </w:r>
    </w:p>
    <w:p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Predkladá</w:t>
      </w:r>
      <w:r w:rsidRPr="00813EE6">
        <w:rPr>
          <w:rFonts w:eastAsiaTheme="minorEastAsia"/>
          <w:szCs w:val="20"/>
        </w:rPr>
        <w:t xml:space="preserve">: Titul, meno, priezvisko                                </w:t>
      </w:r>
      <w:r w:rsidRPr="00813EE6">
        <w:rPr>
          <w:rFonts w:eastAsiaTheme="minorEastAsia"/>
          <w:szCs w:val="20"/>
        </w:rPr>
        <w:tab/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Dátum:    </w:t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Podpis:         </w:t>
      </w:r>
    </w:p>
    <w:p w:rsidR="00813EE6" w:rsidRPr="00813EE6" w:rsidRDefault="00813EE6" w:rsidP="00813EE6">
      <w:pPr>
        <w:tabs>
          <w:tab w:val="left" w:pos="5580"/>
        </w:tabs>
        <w:spacing w:after="200" w:line="276" w:lineRule="auto"/>
        <w:ind w:right="-709"/>
        <w:rPr>
          <w:rFonts w:eastAsiaTheme="minorEastAsia"/>
          <w:b/>
          <w:szCs w:val="20"/>
        </w:rPr>
      </w:pPr>
    </w:p>
    <w:p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Schválil</w:t>
      </w:r>
      <w:r w:rsidRPr="00813EE6">
        <w:rPr>
          <w:rFonts w:eastAsiaTheme="minorEastAsia"/>
          <w:szCs w:val="20"/>
        </w:rPr>
        <w:t xml:space="preserve">:    Titul, meno, priezvisko                                </w:t>
      </w:r>
      <w:r w:rsidRPr="00813EE6">
        <w:rPr>
          <w:rFonts w:eastAsiaTheme="minorEastAsia"/>
          <w:szCs w:val="20"/>
        </w:rPr>
        <w:tab/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Dátum:    </w:t>
      </w:r>
    </w:p>
    <w:p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Podpis:         </w:t>
      </w:r>
    </w:p>
    <w:p w:rsidR="00A031E9" w:rsidRDefault="00A031E9" w:rsidP="000A173A">
      <w:pPr>
        <w:spacing w:after="200" w:line="276" w:lineRule="auto"/>
        <w:ind w:right="-709"/>
        <w:rPr>
          <w:rFonts w:eastAsiaTheme="minorEastAsia"/>
          <w:szCs w:val="22"/>
        </w:rPr>
        <w:sectPr w:rsidR="00A031E9" w:rsidSect="00500978">
          <w:headerReference w:type="first" r:id="rId17"/>
          <w:footerReference w:type="first" r:id="rId18"/>
          <w:pgSz w:w="11906" w:h="16838"/>
          <w:pgMar w:top="461" w:right="1417" w:bottom="1417" w:left="1417" w:header="708" w:footer="708" w:gutter="0"/>
          <w:cols w:space="708"/>
          <w:docGrid w:linePitch="360"/>
        </w:sectPr>
      </w:pPr>
    </w:p>
    <w:p w:rsidR="00813EE6" w:rsidRPr="000A173A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lastRenderedPageBreak/>
        <w:t>Obsah</w:t>
      </w:r>
    </w:p>
    <w:p w:rsidR="00813EE6" w:rsidRPr="00813EE6" w:rsidRDefault="00813EE6" w:rsidP="00813EE6">
      <w:pPr>
        <w:spacing w:after="200" w:line="276" w:lineRule="auto"/>
        <w:ind w:left="720"/>
        <w:contextualSpacing/>
        <w:jc w:val="both"/>
        <w:rPr>
          <w:rFonts w:eastAsiaTheme="minorEastAsia"/>
          <w:b/>
          <w:szCs w:val="22"/>
        </w:rPr>
      </w:pPr>
    </w:p>
    <w:p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Úvod</w:t>
      </w:r>
    </w:p>
    <w:p w:rsidR="000A173A" w:rsidRDefault="000A173A" w:rsidP="000A173A">
      <w:pPr>
        <w:spacing w:before="240" w:after="200" w:line="276" w:lineRule="auto"/>
        <w:ind w:left="1425"/>
        <w:contextualSpacing/>
        <w:jc w:val="both"/>
        <w:rPr>
          <w:rFonts w:eastAsiaTheme="minorEastAsia"/>
          <w:i/>
          <w:szCs w:val="22"/>
        </w:rPr>
      </w:pPr>
    </w:p>
    <w:p w:rsidR="00EC2867" w:rsidRDefault="00EC2867" w:rsidP="000A173A">
      <w:pPr>
        <w:numPr>
          <w:ilvl w:val="0"/>
          <w:numId w:val="7"/>
        </w:numPr>
        <w:spacing w:before="240" w:after="200" w:line="276" w:lineRule="auto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Účel </w:t>
      </w:r>
    </w:p>
    <w:p w:rsidR="00EC2867" w:rsidRDefault="00EC2867" w:rsidP="000A173A">
      <w:pPr>
        <w:spacing w:before="240" w:after="200" w:line="276" w:lineRule="auto"/>
        <w:ind w:left="1425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 s</w:t>
      </w:r>
      <w:r w:rsidRPr="00EC2867">
        <w:rPr>
          <w:rFonts w:eastAsiaTheme="minorEastAsia"/>
          <w:i/>
          <w:szCs w:val="22"/>
        </w:rPr>
        <w:t xml:space="preserve">tručne uvedie účel </w:t>
      </w:r>
      <w:r w:rsidR="00137F88">
        <w:rPr>
          <w:rFonts w:eastAsiaTheme="minorEastAsia"/>
          <w:i/>
          <w:szCs w:val="22"/>
        </w:rPr>
        <w:t xml:space="preserve"> </w:t>
      </w:r>
      <w:r w:rsidRPr="00EC2867">
        <w:rPr>
          <w:rFonts w:eastAsiaTheme="minorEastAsia"/>
          <w:i/>
          <w:szCs w:val="22"/>
        </w:rPr>
        <w:t>manuálu s odkazom na relevantné dokumenty.</w:t>
      </w:r>
    </w:p>
    <w:p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Schvaľovanie a riadenie zmien manuálu</w:t>
      </w:r>
    </w:p>
    <w:p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proces aktualizácie so zodpovednosťami, zoznamom a popisom zmien (Zmenový list</w:t>
      </w:r>
      <w:r w:rsidR="00137F88">
        <w:rPr>
          <w:rFonts w:eastAsiaTheme="minorEastAsia"/>
          <w:i/>
          <w:szCs w:val="22"/>
        </w:rPr>
        <w:t>, ktorý obsahuje stručný prehľad vykonaných zmien</w:t>
      </w:r>
      <w:r w:rsidR="00813EE6" w:rsidRPr="00813EE6">
        <w:rPr>
          <w:rFonts w:eastAsiaTheme="minorEastAsia"/>
          <w:i/>
          <w:szCs w:val="22"/>
        </w:rPr>
        <w:t xml:space="preserve">). </w:t>
      </w: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pri zmenách postupuje v súlade s kapitolou 2.3.1</w:t>
      </w:r>
      <w:r w:rsidR="00137F88">
        <w:rPr>
          <w:rFonts w:eastAsiaTheme="minorEastAsia"/>
          <w:i/>
          <w:szCs w:val="22"/>
        </w:rPr>
        <w:t xml:space="preserve">, </w:t>
      </w:r>
      <w:r w:rsidR="002B650A">
        <w:rPr>
          <w:rFonts w:eastAsiaTheme="minorEastAsia"/>
          <w:i/>
          <w:szCs w:val="22"/>
        </w:rPr>
        <w:t xml:space="preserve">ods. </w:t>
      </w:r>
      <w:r w:rsidR="00137F88">
        <w:rPr>
          <w:rFonts w:eastAsiaTheme="minorEastAsia"/>
          <w:i/>
          <w:szCs w:val="22"/>
        </w:rPr>
        <w:t>5</w:t>
      </w:r>
      <w:r w:rsidR="00813EE6" w:rsidRPr="00813EE6">
        <w:rPr>
          <w:rFonts w:eastAsiaTheme="minorEastAsia"/>
          <w:i/>
          <w:szCs w:val="22"/>
        </w:rPr>
        <w:t xml:space="preserve"> Systému riadenia EŠIF.</w:t>
      </w:r>
    </w:p>
    <w:p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Distribúcia </w:t>
      </w:r>
    </w:p>
    <w:p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počet autorizovaných papierových a elektronických verzií a ich umiestnenie/adresátov (RO, CO, OA a CKO).</w:t>
      </w:r>
    </w:p>
    <w:p w:rsidR="00813EE6" w:rsidRDefault="00813EE6" w:rsidP="000A173A">
      <w:pPr>
        <w:numPr>
          <w:ilvl w:val="0"/>
          <w:numId w:val="7"/>
        </w:numPr>
        <w:spacing w:line="276" w:lineRule="auto"/>
        <w:contextualSpacing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i/>
          <w:szCs w:val="22"/>
        </w:rPr>
        <w:t>Skratky a definícia pojmov</w:t>
      </w:r>
      <w:r w:rsidRPr="00813EE6">
        <w:rPr>
          <w:rFonts w:eastAsiaTheme="minorEastAsia"/>
          <w:szCs w:val="22"/>
        </w:rPr>
        <w:t xml:space="preserve"> </w:t>
      </w:r>
    </w:p>
    <w:p w:rsidR="000A173A" w:rsidRDefault="000A173A" w:rsidP="000A173A">
      <w:pPr>
        <w:spacing w:after="200" w:line="276" w:lineRule="auto"/>
        <w:ind w:left="1425"/>
        <w:contextualSpacing/>
        <w:jc w:val="both"/>
        <w:rPr>
          <w:rFonts w:eastAsiaTheme="minorEastAsia"/>
          <w:szCs w:val="22"/>
        </w:rPr>
      </w:pPr>
    </w:p>
    <w:p w:rsidR="00B2064F" w:rsidRPr="00813EE6" w:rsidRDefault="009C6749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Postavenie subjektu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:rsidR="005224B2" w:rsidRDefault="00B2064F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 xml:space="preserve">Zadefinovanie úloh a právomocí </w:t>
      </w:r>
      <w:r w:rsidR="005224B2" w:rsidRPr="005224B2">
        <w:rPr>
          <w:rFonts w:eastAsiaTheme="minorEastAsia"/>
          <w:i/>
          <w:szCs w:val="22"/>
        </w:rPr>
        <w:t>subjektu</w:t>
      </w:r>
      <w:r w:rsidR="005224B2">
        <w:rPr>
          <w:rFonts w:eastAsiaTheme="minorEastAsia"/>
          <w:i/>
          <w:szCs w:val="22"/>
        </w:rPr>
        <w:t>, vrátane zodpovedajúcej organizačnej štruktúry.</w:t>
      </w:r>
      <w:r w:rsidRPr="000A173A">
        <w:rPr>
          <w:rFonts w:eastAsiaTheme="minorEastAsia"/>
          <w:i/>
          <w:szCs w:val="22"/>
        </w:rPr>
        <w:t xml:space="preserve"> V predmetnej časti </w:t>
      </w:r>
      <w:r>
        <w:rPr>
          <w:rFonts w:eastAsiaTheme="minorEastAsia"/>
          <w:i/>
          <w:szCs w:val="22"/>
        </w:rPr>
        <w:t>subjekt uvedie základný prehľad vykonávaných úloh a právomocí; pri subjektoch,</w:t>
      </w:r>
      <w:r w:rsidR="005224B2">
        <w:rPr>
          <w:rFonts w:eastAsiaTheme="minorEastAsia"/>
          <w:i/>
          <w:szCs w:val="22"/>
        </w:rPr>
        <w:t xml:space="preserve"> ktoré je potrebné v tejto časti definovať a pri ktorých </w:t>
      </w:r>
      <w:r>
        <w:rPr>
          <w:rFonts w:eastAsiaTheme="minorEastAsia"/>
          <w:i/>
          <w:szCs w:val="22"/>
        </w:rPr>
        <w:t>sú ich úlohy a právomoci upravené v iných záväzných dokumentoch (napr. Systém riaden</w:t>
      </w:r>
      <w:r w:rsidR="005224B2">
        <w:rPr>
          <w:rFonts w:eastAsiaTheme="minorEastAsia"/>
          <w:i/>
          <w:szCs w:val="22"/>
        </w:rPr>
        <w:t>ia EŠIF, Systém finančného riadenia) je postačujúce uvedenie odkazu na príslušný dokumentu.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Ľudské zdroje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Systém riadenia ľudských zdrojov, pracovné náplne pracovných pozícií, zastupiteľnosť a rozvoj ľudských zdrojov.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Popis riadených procesov</w:t>
      </w:r>
      <w:r w:rsidR="00B31AAF">
        <w:rPr>
          <w:rStyle w:val="Odkaznapoznmkupodiarou"/>
          <w:rFonts w:eastAsiaTheme="minorEastAsia"/>
          <w:b/>
          <w:szCs w:val="22"/>
        </w:rPr>
        <w:footnoteReference w:id="2"/>
      </w:r>
    </w:p>
    <w:p w:rsidR="000A173A" w:rsidRDefault="000A173A" w:rsidP="009C582B">
      <w:pPr>
        <w:spacing w:after="200" w:line="276" w:lineRule="auto"/>
        <w:jc w:val="both"/>
        <w:rPr>
          <w:rFonts w:eastAsiaTheme="minorEastAsia"/>
          <w:i/>
          <w:szCs w:val="22"/>
        </w:rPr>
      </w:pPr>
    </w:p>
    <w:p w:rsidR="009C582B" w:rsidRPr="000A173A" w:rsidRDefault="00B31AAF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Subjekt </w:t>
      </w:r>
      <w:r w:rsidR="00813EE6" w:rsidRPr="000A173A">
        <w:rPr>
          <w:rFonts w:eastAsiaTheme="minorEastAsia"/>
          <w:i/>
          <w:szCs w:val="22"/>
        </w:rPr>
        <w:t>prispôsobí túto kapitolu rozsahu vykonávaných procesov, vrátane priradenia zodpovednej pozície zamestnancov</w:t>
      </w:r>
      <w:r w:rsidR="009C582B">
        <w:rPr>
          <w:rFonts w:eastAsiaTheme="minorEastAsia"/>
          <w:i/>
          <w:szCs w:val="22"/>
        </w:rPr>
        <w:t xml:space="preserve">. </w:t>
      </w:r>
      <w:r w:rsidR="009C582B" w:rsidRPr="000A173A">
        <w:rPr>
          <w:rFonts w:eastAsiaTheme="minorEastAsia"/>
          <w:i/>
          <w:szCs w:val="22"/>
        </w:rPr>
        <w:t xml:space="preserve">Subjekt za každú kapitolu popisujúcu procesy zaradí prehľadný audit </w:t>
      </w:r>
      <w:proofErr w:type="spellStart"/>
      <w:r w:rsidR="009C582B" w:rsidRPr="000A173A">
        <w:rPr>
          <w:rFonts w:eastAsiaTheme="minorEastAsia"/>
          <w:i/>
          <w:szCs w:val="22"/>
        </w:rPr>
        <w:t>trail</w:t>
      </w:r>
      <w:proofErr w:type="spellEnd"/>
      <w:r w:rsidR="009C582B" w:rsidRPr="000A173A">
        <w:rPr>
          <w:rFonts w:eastAsiaTheme="minorEastAsia"/>
          <w:i/>
          <w:szCs w:val="22"/>
        </w:rPr>
        <w:t xml:space="preserve"> v nasledujúcom minimálnom členení (prehľadný audit </w:t>
      </w:r>
      <w:proofErr w:type="spellStart"/>
      <w:r w:rsidR="009C582B" w:rsidRPr="000A173A">
        <w:rPr>
          <w:rFonts w:eastAsiaTheme="minorEastAsia"/>
          <w:i/>
          <w:szCs w:val="22"/>
        </w:rPr>
        <w:t>trail</w:t>
      </w:r>
      <w:proofErr w:type="spellEnd"/>
      <w:r w:rsidR="009C582B" w:rsidRPr="000A173A">
        <w:rPr>
          <w:rFonts w:eastAsiaTheme="minorEastAsia"/>
          <w:i/>
          <w:szCs w:val="22"/>
        </w:rPr>
        <w:t xml:space="preserve"> môže byť zaradený ako samostatná komplexná časť manuálu procedúr v súlade s kapitolou 2.3.1. </w:t>
      </w:r>
      <w:r w:rsidR="002B650A">
        <w:rPr>
          <w:rFonts w:eastAsiaTheme="minorEastAsia"/>
          <w:i/>
          <w:szCs w:val="22"/>
        </w:rPr>
        <w:t>ods.</w:t>
      </w:r>
      <w:r w:rsidR="009C582B" w:rsidRPr="000A173A">
        <w:rPr>
          <w:rFonts w:eastAsiaTheme="minorEastAsia"/>
          <w:i/>
          <w:szCs w:val="22"/>
        </w:rPr>
        <w:t xml:space="preserve"> 3 Systému riadenia EŠIF pre programové obdobie 2014-2020):</w:t>
      </w:r>
    </w:p>
    <w:tbl>
      <w:tblPr>
        <w:tblStyle w:val="Mriekatabuky1"/>
        <w:tblW w:w="9482" w:type="dxa"/>
        <w:tblLook w:val="04A0" w:firstRow="1" w:lastRow="0" w:firstColumn="1" w:lastColumn="0" w:noHBand="0" w:noVBand="1"/>
      </w:tblPr>
      <w:tblGrid>
        <w:gridCol w:w="941"/>
        <w:gridCol w:w="603"/>
        <w:gridCol w:w="1833"/>
        <w:gridCol w:w="915"/>
        <w:gridCol w:w="1861"/>
        <w:gridCol w:w="1149"/>
        <w:gridCol w:w="993"/>
        <w:gridCol w:w="1187"/>
      </w:tblGrid>
      <w:tr w:rsidR="009C582B" w:rsidRPr="00813EE6" w:rsidTr="00DF6514">
        <w:trPr>
          <w:trHeight w:val="1276"/>
        </w:trPr>
        <w:tc>
          <w:tcPr>
            <w:tcW w:w="942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lastRenderedPageBreak/>
              <w:t>Názov procesu</w:t>
            </w:r>
          </w:p>
        </w:tc>
        <w:tc>
          <w:tcPr>
            <w:tcW w:w="2427" w:type="dxa"/>
            <w:gridSpan w:val="2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Zodpovednosť (na úrovni pracovnej pozície)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Časový limit</w:t>
            </w:r>
          </w:p>
        </w:tc>
        <w:tc>
          <w:tcPr>
            <w:tcW w:w="1864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Vstupný dokument/Podnet</w:t>
            </w:r>
          </w:p>
        </w:tc>
        <w:tc>
          <w:tcPr>
            <w:tcW w:w="1150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 xml:space="preserve">Výstupný dokument </w:t>
            </w:r>
          </w:p>
        </w:tc>
        <w:tc>
          <w:tcPr>
            <w:tcW w:w="994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Podpora ITMS</w:t>
            </w:r>
          </w:p>
        </w:tc>
        <w:tc>
          <w:tcPr>
            <w:tcW w:w="1189" w:type="dxa"/>
            <w:shd w:val="clear" w:color="auto" w:fill="DBE5F1" w:themeFill="accent1" w:themeFillTint="33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Poznámka</w:t>
            </w:r>
          </w:p>
        </w:tc>
      </w:tr>
      <w:tr w:rsidR="009C582B" w:rsidRPr="00813EE6" w:rsidTr="00DF6514">
        <w:tc>
          <w:tcPr>
            <w:tcW w:w="942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PP1</w:t>
            </w:r>
          </w:p>
        </w:tc>
        <w:tc>
          <w:tcPr>
            <w:tcW w:w="1835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Zodpovedný</w:t>
            </w:r>
          </w:p>
        </w:tc>
        <w:tc>
          <w:tcPr>
            <w:tcW w:w="916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:rsidTr="00DF6514">
        <w:tc>
          <w:tcPr>
            <w:tcW w:w="942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PP2</w:t>
            </w:r>
          </w:p>
        </w:tc>
        <w:tc>
          <w:tcPr>
            <w:tcW w:w="1835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Schvaľujúci</w:t>
            </w:r>
          </w:p>
        </w:tc>
        <w:tc>
          <w:tcPr>
            <w:tcW w:w="916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:rsidTr="00DF6514">
        <w:tc>
          <w:tcPr>
            <w:tcW w:w="942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603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</w:t>
            </w:r>
            <w:r>
              <w:rPr>
                <w:rFonts w:eastAsiaTheme="minorEastAsia"/>
                <w:szCs w:val="22"/>
              </w:rPr>
              <w:t>3</w:t>
            </w:r>
          </w:p>
        </w:tc>
        <w:tc>
          <w:tcPr>
            <w:tcW w:w="182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Spolupracujúci</w:t>
            </w:r>
          </w:p>
        </w:tc>
        <w:tc>
          <w:tcPr>
            <w:tcW w:w="916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</w:tbl>
    <w:p w:rsidR="000A173A" w:rsidRDefault="000A173A" w:rsidP="000A173A">
      <w:pPr>
        <w:spacing w:after="200" w:line="276" w:lineRule="auto"/>
        <w:jc w:val="center"/>
        <w:rPr>
          <w:rFonts w:eastAsiaTheme="minorEastAsia"/>
          <w:i/>
          <w:szCs w:val="22"/>
        </w:rPr>
      </w:pPr>
    </w:p>
    <w:p w:rsidR="009C582B" w:rsidRPr="00B31AAF" w:rsidRDefault="009C582B" w:rsidP="000A173A">
      <w:pPr>
        <w:spacing w:after="200" w:line="276" w:lineRule="auto"/>
        <w:jc w:val="center"/>
        <w:rPr>
          <w:rFonts w:eastAsiaTheme="minorEastAsia"/>
          <w:szCs w:val="22"/>
        </w:rPr>
      </w:pPr>
      <w:r>
        <w:rPr>
          <w:rFonts w:eastAsiaTheme="minorEastAsia"/>
          <w:i/>
          <w:szCs w:val="22"/>
        </w:rPr>
        <w:t>Odporúčaná</w:t>
      </w:r>
      <w:r w:rsidR="00813EE6" w:rsidRPr="000A173A">
        <w:rPr>
          <w:rFonts w:eastAsiaTheme="minorEastAsia"/>
          <w:i/>
          <w:szCs w:val="22"/>
        </w:rPr>
        <w:t xml:space="preserve"> štruktúra s ohľadom na procesy je nasledovná</w:t>
      </w:r>
      <w:r w:rsidR="00813EE6" w:rsidRPr="00B31AAF">
        <w:rPr>
          <w:rFonts w:eastAsiaTheme="minorEastAsia"/>
          <w:szCs w:val="22"/>
        </w:rPr>
        <w:t>:</w:t>
      </w:r>
    </w:p>
    <w:p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1 Programovanie</w:t>
      </w:r>
    </w:p>
    <w:p w:rsidR="00813EE6" w:rsidRPr="00813EE6" w:rsidRDefault="00813EE6" w:rsidP="00813EE6">
      <w:pPr>
        <w:spacing w:after="200" w:line="276" w:lineRule="auto"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szCs w:val="22"/>
        </w:rPr>
        <w:t>Zmeny OP a ďalšej riadiacej dokumentácie (ak relevantné)</w:t>
      </w:r>
    </w:p>
    <w:p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2 Výber projektov pre realizáciu OP</w:t>
      </w:r>
    </w:p>
    <w:p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Harmonogram výziev</w:t>
      </w:r>
    </w:p>
    <w:p w:rsid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Príprava a zverejnenie výzvy</w:t>
      </w:r>
    </w:p>
    <w:p w:rsidR="00236837" w:rsidRPr="000A173A" w:rsidRDefault="00236837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Schvaľovací proces ŽoNFP – overovanie podmienok poskytnutia príspevku</w:t>
      </w:r>
    </w:p>
    <w:p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Príjem a registrácia ŽoNFP</w:t>
      </w:r>
    </w:p>
    <w:p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Administratívne overenie</w:t>
      </w:r>
    </w:p>
    <w:p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Odborné hodnotenie a výber</w:t>
      </w:r>
    </w:p>
    <w:p w:rsid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Vydávanie rozhodnutí</w:t>
      </w:r>
    </w:p>
    <w:p w:rsidR="000E1E16" w:rsidRDefault="000E1E1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Overovanie podmienok poskytnutia príspevku na mieste (ak relevantné)</w:t>
      </w:r>
    </w:p>
    <w:p w:rsidR="00CD7265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Záverečná správa výzvy</w:t>
      </w:r>
    </w:p>
    <w:p w:rsidR="00CD7265" w:rsidRPr="00813EE6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Zverejňovanie</w:t>
      </w:r>
    </w:p>
    <w:p w:rsidR="00813EE6" w:rsidRP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Postup </w:t>
      </w:r>
      <w:r w:rsidR="00AF35E0">
        <w:rPr>
          <w:rFonts w:eastAsiaTheme="minorEastAsia"/>
          <w:i/>
          <w:szCs w:val="22"/>
        </w:rPr>
        <w:t>subjektu</w:t>
      </w:r>
      <w:r w:rsidRPr="00813EE6">
        <w:rPr>
          <w:rFonts w:eastAsiaTheme="minorEastAsia"/>
          <w:i/>
          <w:szCs w:val="22"/>
        </w:rPr>
        <w:t xml:space="preserve"> pri dvojkolovom výbere ŽoNFP</w:t>
      </w:r>
      <w:r w:rsidRPr="00813EE6">
        <w:rPr>
          <w:rFonts w:eastAsiaTheme="minorEastAsia"/>
          <w:i/>
          <w:szCs w:val="22"/>
          <w:vertAlign w:val="superscript"/>
        </w:rPr>
        <w:footnoteReference w:id="3"/>
      </w:r>
    </w:p>
    <w:p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Opravné prostriedky, vrátane všeobecnej úpravy riešenia sťažností</w:t>
      </w:r>
    </w:p>
    <w:p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3 Realizácia projektov</w:t>
      </w:r>
    </w:p>
    <w:p w:rsidR="00DB1BDB" w:rsidRPr="000A173A" w:rsidRDefault="00DB1BDB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Uzatvorenie zmluvy o NFP</w:t>
      </w:r>
      <w:r w:rsidR="00813EE6" w:rsidRPr="000A173A">
        <w:rPr>
          <w:rFonts w:eastAsiaTheme="minorEastAsia"/>
          <w:i/>
          <w:szCs w:val="22"/>
        </w:rPr>
        <w:t xml:space="preserve"> </w:t>
      </w:r>
    </w:p>
    <w:p w:rsid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Kontrola projektov</w:t>
      </w:r>
    </w:p>
    <w:p w:rsidR="00105C05" w:rsidRPr="00813EE6" w:rsidRDefault="00105C05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Kontrola verejného obstarávania a o</w:t>
      </w:r>
      <w:r w:rsidRPr="00105C05">
        <w:rPr>
          <w:rFonts w:eastAsiaTheme="minorEastAsia"/>
          <w:i/>
          <w:szCs w:val="22"/>
        </w:rPr>
        <w:t>právnenosť výdavkov, vrátane zjednodušeného vykazovania výdavkov</w:t>
      </w:r>
    </w:p>
    <w:p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Monitorovanie projektov</w:t>
      </w:r>
    </w:p>
    <w:p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Zmeny projektov </w:t>
      </w:r>
    </w:p>
    <w:p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Ukončovanie zmluvného vzťahu</w:t>
      </w:r>
    </w:p>
    <w:p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Zabezpečenie </w:t>
      </w:r>
      <w:r w:rsidR="00C14AAA">
        <w:rPr>
          <w:rFonts w:eastAsiaTheme="minorEastAsia"/>
          <w:i/>
          <w:szCs w:val="22"/>
        </w:rPr>
        <w:t>pohľadávok</w:t>
      </w:r>
      <w:r w:rsidR="00C14AAA" w:rsidRPr="00813EE6">
        <w:rPr>
          <w:rFonts w:eastAsiaTheme="minorEastAsia"/>
          <w:i/>
          <w:szCs w:val="22"/>
        </w:rPr>
        <w:t xml:space="preserve"> </w:t>
      </w:r>
      <w:r w:rsidR="00AF35E0">
        <w:rPr>
          <w:rFonts w:eastAsiaTheme="minorEastAsia"/>
          <w:i/>
          <w:szCs w:val="22"/>
        </w:rPr>
        <w:t>subjektu</w:t>
      </w:r>
    </w:p>
    <w:p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lastRenderedPageBreak/>
        <w:t>Kapitola 4 Osobitné spôsoby implementácie OP</w:t>
      </w:r>
    </w:p>
    <w:p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Národné projekty, veľké projekty, technická pomoc, globálne granty a pod. – s úpravou procesných odlišností v porovnaní s</w:t>
      </w:r>
      <w:r w:rsidR="00F351D2">
        <w:rPr>
          <w:rFonts w:eastAsiaTheme="minorEastAsia"/>
          <w:i/>
          <w:szCs w:val="22"/>
        </w:rPr>
        <w:t> </w:t>
      </w:r>
      <w:r w:rsidRPr="00813EE6">
        <w:rPr>
          <w:rFonts w:eastAsiaTheme="minorEastAsia"/>
          <w:i/>
          <w:szCs w:val="22"/>
        </w:rPr>
        <w:t>kapitolami</w:t>
      </w:r>
      <w:r w:rsidR="00F351D2">
        <w:rPr>
          <w:rFonts w:eastAsiaTheme="minorEastAsia"/>
          <w:i/>
          <w:szCs w:val="22"/>
        </w:rPr>
        <w:t xml:space="preserve"> 2</w:t>
      </w:r>
      <w:r w:rsidRPr="00813EE6">
        <w:rPr>
          <w:rFonts w:eastAsiaTheme="minorEastAsia"/>
          <w:i/>
          <w:szCs w:val="22"/>
        </w:rPr>
        <w:t xml:space="preserve"> až 3.</w:t>
      </w:r>
    </w:p>
    <w:p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5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>
        <w:rPr>
          <w:rFonts w:eastAsiaTheme="minorEastAsia"/>
          <w:b/>
          <w:color w:val="4F81BD" w:themeColor="accent1"/>
          <w:szCs w:val="22"/>
        </w:rPr>
        <w:t>Finančné riadenie</w:t>
      </w:r>
    </w:p>
    <w:p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</w:rPr>
        <w:t>Systém a procesy finančného riadenia</w:t>
      </w:r>
      <w:r w:rsidR="00582BB2">
        <w:rPr>
          <w:rFonts w:eastAsiaTheme="minorEastAsia"/>
          <w:i/>
        </w:rPr>
        <w:t xml:space="preserve"> </w:t>
      </w:r>
      <w:r w:rsidR="00531DFC">
        <w:rPr>
          <w:rFonts w:eastAsiaTheme="minorEastAsia"/>
          <w:i/>
        </w:rPr>
        <w:t>relevantné</w:t>
      </w:r>
      <w:r w:rsidR="00582BB2">
        <w:rPr>
          <w:rFonts w:eastAsiaTheme="minorEastAsia"/>
          <w:i/>
        </w:rPr>
        <w:t xml:space="preserve"> pre subjekt, napr. </w:t>
      </w:r>
      <w:r w:rsidR="00582BB2" w:rsidRPr="00582BB2">
        <w:rPr>
          <w:rFonts w:eastAsiaTheme="minorEastAsia"/>
          <w:i/>
        </w:rPr>
        <w:t>proces kontroly žiadosti o platbu, vypracovanie odhadov očakávaných výdavkov a pod.</w:t>
      </w:r>
      <w:r w:rsidR="00582BB2">
        <w:rPr>
          <w:rFonts w:eastAsiaTheme="minorEastAsia"/>
          <w:i/>
        </w:rPr>
        <w:t>, v súlade so</w:t>
      </w:r>
      <w:r w:rsidRPr="00813EE6">
        <w:rPr>
          <w:rFonts w:eastAsiaTheme="minorEastAsia"/>
          <w:i/>
          <w:szCs w:val="22"/>
        </w:rPr>
        <w:t xml:space="preserve"> Systémom finančného riadenia a Stratégiou financovania EŠIF pre programové obdobie 2014 – 2020.</w:t>
      </w:r>
    </w:p>
    <w:p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6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Proces zisťovania, riešenia a nahlasovania nezrovnalostí</w:t>
      </w:r>
    </w:p>
    <w:p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Popis procesov zisťovania, riešenia a nahlasovania nezrovnalostí.</w:t>
      </w:r>
    </w:p>
    <w:p w:rsidR="00C76803" w:rsidRDefault="00C76803" w:rsidP="00C76803">
      <w:pPr>
        <w:spacing w:after="200" w:line="276" w:lineRule="auto"/>
        <w:jc w:val="center"/>
        <w:rPr>
          <w:rFonts w:eastAsiaTheme="minorEastAsia"/>
          <w:b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7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Monitorovanie a hodnotenie OP</w:t>
      </w:r>
    </w:p>
    <w:p w:rsidR="00582BB2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Proces </w:t>
      </w:r>
      <w:r w:rsidR="001C161E">
        <w:rPr>
          <w:rFonts w:eastAsiaTheme="minorEastAsia"/>
          <w:i/>
          <w:szCs w:val="22"/>
        </w:rPr>
        <w:t>zhromažďovania</w:t>
      </w:r>
      <w:r>
        <w:rPr>
          <w:rFonts w:eastAsiaTheme="minorEastAsia"/>
          <w:i/>
          <w:szCs w:val="22"/>
        </w:rPr>
        <w:t xml:space="preserve"> a analýzy relevantných údajov a ich </w:t>
      </w:r>
      <w:r w:rsidR="00582BB2">
        <w:rPr>
          <w:rFonts w:eastAsiaTheme="minorEastAsia"/>
          <w:i/>
          <w:szCs w:val="22"/>
        </w:rPr>
        <w:t>reportovania,</w:t>
      </w:r>
      <w:r w:rsidR="00582BB2" w:rsidRPr="00582BB2">
        <w:rPr>
          <w:i/>
          <w:iCs/>
        </w:rPr>
        <w:t xml:space="preserve"> </w:t>
      </w:r>
      <w:r w:rsidR="00582BB2">
        <w:rPr>
          <w:i/>
          <w:iCs/>
        </w:rPr>
        <w:t>vrátane monitorovania výkonnostného rámca.</w:t>
      </w:r>
      <w:r>
        <w:rPr>
          <w:rFonts w:eastAsiaTheme="minorEastAsia"/>
          <w:i/>
          <w:szCs w:val="22"/>
        </w:rPr>
        <w:t xml:space="preserve"> </w:t>
      </w:r>
    </w:p>
    <w:p w:rsidR="00C76803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Zloženie, úlohy a zabezpečenie činnosti monitorovacích výborov.</w:t>
      </w:r>
    </w:p>
    <w:p w:rsidR="00C76803" w:rsidRPr="000A173A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Procesy predbežného, priebežného a následného hodnotenia na programovej úrovni.</w:t>
      </w:r>
    </w:p>
    <w:p w:rsidR="00C76803" w:rsidRPr="000A173A" w:rsidRDefault="00C76803" w:rsidP="00C76803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C76803">
        <w:rPr>
          <w:rFonts w:eastAsiaTheme="minorEastAsia"/>
          <w:b/>
          <w:color w:val="4F81BD" w:themeColor="accent1"/>
          <w:szCs w:val="22"/>
        </w:rPr>
        <w:t xml:space="preserve">Kapitola 8 </w:t>
      </w:r>
      <w:r w:rsidRPr="000A173A">
        <w:rPr>
          <w:rFonts w:eastAsiaTheme="minorEastAsia"/>
          <w:b/>
          <w:color w:val="4F81BD" w:themeColor="accent1"/>
          <w:szCs w:val="22"/>
        </w:rPr>
        <w:t>Informovanie a </w:t>
      </w:r>
      <w:r w:rsidR="002B19B9">
        <w:rPr>
          <w:rFonts w:eastAsiaTheme="minorEastAsia"/>
          <w:b/>
          <w:color w:val="4F81BD" w:themeColor="accent1"/>
          <w:szCs w:val="22"/>
        </w:rPr>
        <w:t>komunikácia</w:t>
      </w:r>
    </w:p>
    <w:p w:rsidR="00C76803" w:rsidRPr="00813EE6" w:rsidRDefault="00C76803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Proces prípravy, schvaľovania, implementácie, revidovania a hodnotenia komunikačnej stratégie.</w:t>
      </w:r>
    </w:p>
    <w:p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Systém riadenia rizík</w:t>
      </w:r>
    </w:p>
    <w:p w:rsidR="000A173A" w:rsidRDefault="000A173A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</w:p>
    <w:p w:rsidR="00813EE6" w:rsidRPr="00813EE6" w:rsidRDefault="00813EE6" w:rsidP="000A173A">
      <w:pPr>
        <w:spacing w:after="200" w:line="276" w:lineRule="auto"/>
        <w:ind w:firstLine="360"/>
        <w:jc w:val="both"/>
        <w:rPr>
          <w:rFonts w:eastAsiaTheme="minorEastAsia"/>
          <w:b/>
          <w:szCs w:val="22"/>
        </w:rPr>
      </w:pPr>
      <w:r w:rsidRPr="000A173A">
        <w:rPr>
          <w:rFonts w:eastAsiaTheme="minorEastAsia"/>
          <w:i/>
          <w:szCs w:val="22"/>
        </w:rPr>
        <w:t xml:space="preserve">Riadenie rizík v boji proti podvodom minimálne v rozsahu požadovanom čl. 125 ods. 4, </w:t>
      </w:r>
      <w:proofErr w:type="spellStart"/>
      <w:r w:rsidRPr="000A173A">
        <w:rPr>
          <w:rFonts w:eastAsiaTheme="minorEastAsia"/>
          <w:i/>
          <w:szCs w:val="22"/>
        </w:rPr>
        <w:t>písm.c</w:t>
      </w:r>
      <w:proofErr w:type="spellEnd"/>
      <w:r w:rsidRPr="000A173A">
        <w:rPr>
          <w:rFonts w:eastAsiaTheme="minorEastAsia"/>
          <w:i/>
          <w:szCs w:val="22"/>
        </w:rPr>
        <w:t>)</w:t>
      </w:r>
      <w:r w:rsidR="00EF050A">
        <w:rPr>
          <w:rFonts w:eastAsiaTheme="minorEastAsia"/>
          <w:i/>
          <w:szCs w:val="22"/>
        </w:rPr>
        <w:t xml:space="preserve"> </w:t>
      </w:r>
      <w:r w:rsidR="008B0732">
        <w:rPr>
          <w:rFonts w:eastAsiaTheme="minorEastAsia"/>
          <w:i/>
          <w:szCs w:val="22"/>
        </w:rPr>
        <w:t xml:space="preserve">všeobecného nariadenia </w:t>
      </w:r>
      <w:r w:rsidR="00EF050A">
        <w:rPr>
          <w:rFonts w:eastAsiaTheme="minorEastAsia"/>
          <w:i/>
          <w:szCs w:val="22"/>
        </w:rPr>
        <w:t xml:space="preserve">a v súlade s prílohou Metodického pokynu CKO na programové obdobie 2014 - 2020 č. 3 </w:t>
      </w:r>
      <w:r w:rsidR="00EF050A" w:rsidRPr="00EF050A">
        <w:rPr>
          <w:rFonts w:eastAsiaTheme="minorEastAsia"/>
          <w:i/>
          <w:szCs w:val="22"/>
        </w:rPr>
        <w:t>Metodický pokyn k procesu určenia RO a CO</w:t>
      </w:r>
      <w:r w:rsidRPr="000A173A">
        <w:rPr>
          <w:rFonts w:eastAsiaTheme="minorEastAsia"/>
          <w:i/>
          <w:szCs w:val="22"/>
        </w:rPr>
        <w:t>.</w:t>
      </w:r>
    </w:p>
    <w:p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IT monitorovací systém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  <w:r>
        <w:rPr>
          <w:rFonts w:eastAsiaTheme="minorEastAsia"/>
          <w:bCs/>
          <w:i/>
          <w:szCs w:val="22"/>
          <w:lang w:eastAsia="en-US"/>
        </w:rPr>
        <w:t>Riadenie</w:t>
      </w:r>
      <w:r w:rsidRPr="000A173A">
        <w:rPr>
          <w:rFonts w:eastAsiaTheme="minorEastAsia"/>
          <w:bCs/>
          <w:i/>
          <w:szCs w:val="22"/>
          <w:lang w:eastAsia="en-US"/>
        </w:rPr>
        <w:t xml:space="preserve"> jednotlivých procesov IT monitorovacieho systému.</w:t>
      </w:r>
    </w:p>
    <w:p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Uchovávanie dokumentov</w:t>
      </w:r>
    </w:p>
    <w:p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:rsidR="00813EE6" w:rsidRDefault="00C76803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>Systém registrácie uchovávania a ukladania dokumentov súvisiacich s riadením a</w:t>
      </w:r>
      <w:r w:rsidR="000A173A">
        <w:rPr>
          <w:rFonts w:eastAsiaTheme="minorEastAsia"/>
          <w:szCs w:val="22"/>
        </w:rPr>
        <w:t> </w:t>
      </w:r>
      <w:r w:rsidRPr="000A173A">
        <w:rPr>
          <w:rFonts w:eastAsiaTheme="minorEastAsia"/>
          <w:szCs w:val="22"/>
        </w:rPr>
        <w:t>implementáciou</w:t>
      </w:r>
      <w:r w:rsidR="000A173A">
        <w:rPr>
          <w:rFonts w:eastAsiaTheme="minorEastAsia"/>
          <w:szCs w:val="22"/>
        </w:rPr>
        <w:t>.</w:t>
      </w:r>
    </w:p>
    <w:p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lastRenderedPageBreak/>
        <w:t>Prílohy</w:t>
      </w:r>
    </w:p>
    <w:p w:rsidR="000A173A" w:rsidRDefault="000A173A" w:rsidP="00813EE6">
      <w:pPr>
        <w:spacing w:after="200" w:line="276" w:lineRule="auto"/>
        <w:jc w:val="both"/>
        <w:rPr>
          <w:rFonts w:eastAsiaTheme="minorEastAsia"/>
          <w:szCs w:val="22"/>
        </w:rPr>
      </w:pPr>
    </w:p>
    <w:p w:rsidR="00813EE6" w:rsidRPr="000A173A" w:rsidRDefault="00137F88" w:rsidP="000A173A">
      <w:pPr>
        <w:spacing w:after="200" w:line="276" w:lineRule="auto"/>
        <w:ind w:firstLine="360"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 xml:space="preserve">Napríklad </w:t>
      </w:r>
      <w:r w:rsidR="007C5A08" w:rsidRPr="00D813F7">
        <w:rPr>
          <w:szCs w:val="20"/>
        </w:rPr>
        <w:t>Zmluva o vykonávaní časti úloh riadiaceho orgánu sprostredkovateľským orgánom</w:t>
      </w:r>
      <w:r w:rsidR="007C5A08">
        <w:rPr>
          <w:szCs w:val="20"/>
        </w:rPr>
        <w:t>, kontrolné zoznamy, vstupné a výstupné dokumenty a pod.</w:t>
      </w:r>
      <w:r w:rsidR="007C5A08">
        <w:rPr>
          <w:rStyle w:val="Odkaznapoznmkupodiarou"/>
          <w:szCs w:val="20"/>
        </w:rPr>
        <w:footnoteReference w:id="4"/>
      </w:r>
    </w:p>
    <w:p w:rsidR="00071CD7" w:rsidRPr="005B1203" w:rsidRDefault="00071CD7" w:rsidP="00813EE6">
      <w:pPr>
        <w:jc w:val="center"/>
        <w:outlineLvl w:val="0"/>
      </w:pPr>
    </w:p>
    <w:sectPr w:rsidR="00071CD7" w:rsidRPr="005B1203" w:rsidSect="000A173A">
      <w:headerReference w:type="first" r:id="rId19"/>
      <w:type w:val="continuous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643" w:rsidRDefault="006E5643" w:rsidP="00B948E0">
      <w:r>
        <w:separator/>
      </w:r>
    </w:p>
  </w:endnote>
  <w:endnote w:type="continuationSeparator" w:id="0">
    <w:p w:rsidR="006E5643" w:rsidRDefault="006E564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8A38A6" wp14:editId="00AC2D4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51785F" wp14:editId="1883B93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38849887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0978">
          <w:rPr>
            <w:noProof/>
          </w:rPr>
          <w:t>2</w:t>
        </w:r>
        <w:r>
          <w:fldChar w:fldCharType="end"/>
        </w:r>
      </w:sdtContent>
    </w:sdt>
  </w:p>
  <w:p w:rsidR="00AA43F3" w:rsidRDefault="00AA43F3" w:rsidP="00AA43F3">
    <w:pPr>
      <w:pStyle w:val="Pta"/>
    </w:pPr>
  </w:p>
  <w:p w:rsidR="00AA43F3" w:rsidRDefault="00AA43F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2C9F817" wp14:editId="193F45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B649859" wp14:editId="4D3549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21056041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0978">
          <w:rPr>
            <w:noProof/>
          </w:rPr>
          <w:t>3</w:t>
        </w:r>
        <w:r>
          <w:fldChar w:fldCharType="end"/>
        </w:r>
      </w:sdtContent>
    </w:sdt>
  </w:p>
  <w:p w:rsidR="00AA43F3" w:rsidRDefault="00AA43F3" w:rsidP="00AA43F3">
    <w:pPr>
      <w:pStyle w:val="Pta"/>
    </w:pPr>
  </w:p>
  <w:p w:rsidR="00AA43F3" w:rsidRDefault="00AA43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643" w:rsidRDefault="006E5643" w:rsidP="00B948E0">
      <w:r>
        <w:separator/>
      </w:r>
    </w:p>
  </w:footnote>
  <w:footnote w:type="continuationSeparator" w:id="0">
    <w:p w:rsidR="006E5643" w:rsidRDefault="006E5643" w:rsidP="00B948E0">
      <w:r>
        <w:continuationSeparator/>
      </w:r>
    </w:p>
  </w:footnote>
  <w:footnote w:id="1">
    <w:p w:rsidR="00AF35E0" w:rsidRDefault="00AF35E0">
      <w:pPr>
        <w:pStyle w:val="Textpoznmkypodiarou"/>
      </w:pPr>
      <w:r>
        <w:rPr>
          <w:rStyle w:val="Odkaznapoznmkupodiarou"/>
        </w:rPr>
        <w:footnoteRef/>
      </w:r>
      <w:r>
        <w:t xml:space="preserve"> Subjektom sa rozumie všeobecné označenie pre autora manuálu procedúr, pričom pojem je následne rovnako použitý ďalej v texte</w:t>
      </w:r>
    </w:p>
  </w:footnote>
  <w:footnote w:id="2">
    <w:p w:rsidR="00B31AAF" w:rsidRDefault="00B31AAF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Úprava procesov je definovaná tak, aby nedochádzalo ku </w:t>
      </w:r>
      <w:r w:rsidRPr="000A173A">
        <w:t>kopírovaniu metodických dokumentov, ako napr. Systému riadenia EŠIF, Systému finančného riadenia, ale ich relevantné rozpracovanie na úroveň reálnych procesov prebiehajúcich na úrovni RO/SO/gestora HP. V prípade,</w:t>
      </w:r>
      <w:r w:rsidR="007C5A08" w:rsidRPr="007C5A08">
        <w:t xml:space="preserve"> ak je text niektorej časti</w:t>
      </w:r>
      <w:r w:rsidRPr="000A173A">
        <w:t xml:space="preserve"> </w:t>
      </w:r>
      <w:r w:rsidR="007C5A08">
        <w:t>zhodný</w:t>
      </w:r>
      <w:r w:rsidRPr="000A173A">
        <w:t xml:space="preserve"> s textom v rámci týchto záväzných dokumentov</w:t>
      </w:r>
      <w:r>
        <w:t xml:space="preserve">, je postačujúce v relevantnej časti uviesť odkaz na </w:t>
      </w:r>
      <w:r w:rsidR="00582BB2">
        <w:t xml:space="preserve">relevantnú </w:t>
      </w:r>
      <w:r>
        <w:t xml:space="preserve">časť konkrétneho </w:t>
      </w:r>
      <w:r w:rsidR="00582BB2">
        <w:t>záväzného dokumentu.</w:t>
      </w:r>
    </w:p>
  </w:footnote>
  <w:footnote w:id="3">
    <w:p w:rsidR="00813EE6" w:rsidRDefault="00813EE6" w:rsidP="00813EE6">
      <w:pPr>
        <w:pStyle w:val="Textpoznmkypodiarou"/>
      </w:pPr>
      <w:r>
        <w:rPr>
          <w:rStyle w:val="Odkaznapoznmkupodiarou"/>
        </w:rPr>
        <w:footnoteRef/>
      </w:r>
      <w:r>
        <w:t xml:space="preserve"> Relevantné pre OP plánujúce využiť dvojkolový výber ŽoNFP</w:t>
      </w:r>
    </w:p>
  </w:footnote>
  <w:footnote w:id="4">
    <w:p w:rsidR="007C5A08" w:rsidRDefault="007C5A08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je vstupný/výstupný dokument zhodný so vzorom definovaným záväznými dokumentmi, napr. Systém riadenia EŠIF, Systém finančného riadenia, je možné v texte použiť odvolávku na relevantný dokument a nezavádzať ho ako osobitnú prílohu MP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>Verzia:</w:t>
    </w:r>
  </w:p>
  <w:p w:rsidR="00A031E9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>Účinnosť od:</w:t>
    </w:r>
  </w:p>
  <w:p w:rsidR="00500978" w:rsidRDefault="00500978" w:rsidP="00500978">
    <w:pPr>
      <w:pStyle w:val="Hlavika"/>
      <w:tabs>
        <w:tab w:val="clear" w:pos="4536"/>
        <w:tab w:val="clear" w:pos="9072"/>
        <w:tab w:val="left" w:pos="38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31B3D1" wp14:editId="54CC3ED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ab/>
    </w:r>
  </w:p>
  <w:sdt>
    <w:sdtPr>
      <w:rPr>
        <w:szCs w:val="20"/>
      </w:rPr>
      <w:id w:val="2070840989"/>
      <w:placeholder>
        <w:docPart w:val="4A83B83100D34684AA6555B817C65EF7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500978" w:rsidRPr="00627EA3" w:rsidRDefault="00500978" w:rsidP="00500978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9" w:rsidRDefault="00813EE6">
    <w:pPr>
      <w:pStyle w:val="Hlavika"/>
    </w:pPr>
    <w:r>
      <w:t>Manuál procedúr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>Verzia:</w:t>
    </w:r>
  </w:p>
  <w:p w:rsidR="00A031E9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>Účinnosť od:</w:t>
    </w:r>
  </w:p>
  <w:p w:rsidR="00500978" w:rsidRDefault="00500978" w:rsidP="0050097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83955F" wp14:editId="61063AF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:rsidR="008B5850" w:rsidRPr="000A173A" w:rsidRDefault="00500978" w:rsidP="00500978">
    <w:pPr>
      <w:pStyle w:val="Hlavika"/>
      <w:jc w:val="right"/>
      <w:rPr>
        <w:sz w:val="18"/>
        <w:szCs w:val="18"/>
      </w:rPr>
    </w:pPr>
    <w:sdt>
      <w:sdtPr>
        <w:rPr>
          <w:szCs w:val="20"/>
        </w:rPr>
        <w:id w:val="-1497024446"/>
        <w:placeholder>
          <w:docPart w:val="8FE876A387444EF2A291CC97E01B2E52"/>
        </w:placeholder>
        <w:date w:fullDate="2014-12-17T00:00:00Z">
          <w:dateFormat w:val="dd.MM.yyyy"/>
          <w:lid w:val="sk-SK"/>
          <w:storeMappedDataAs w:val="dateTime"/>
          <w:calendar w:val="gregorian"/>
        </w:date>
      </w:sdtPr>
      <w:sdtContent>
        <w:r>
          <w:rPr>
            <w:szCs w:val="20"/>
          </w:rPr>
          <w:t>17.12.2014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179"/>
    <w:multiLevelType w:val="hybridMultilevel"/>
    <w:tmpl w:val="53426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54612"/>
    <w:multiLevelType w:val="hybridMultilevel"/>
    <w:tmpl w:val="B0983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C77A3"/>
    <w:multiLevelType w:val="hybridMultilevel"/>
    <w:tmpl w:val="C0ECA42C"/>
    <w:lvl w:ilvl="0" w:tplc="9314F942">
      <w:start w:val="1"/>
      <w:numFmt w:val="lowerLetter"/>
      <w:lvlText w:val="%1)"/>
      <w:lvlJc w:val="left"/>
      <w:pPr>
        <w:ind w:left="1425" w:hanging="360"/>
      </w:pPr>
      <w:rPr>
        <w:i/>
      </w:rPr>
    </w:lvl>
    <w:lvl w:ilvl="1" w:tplc="C2B2A22A">
      <w:start w:val="1"/>
      <w:numFmt w:val="decimal"/>
      <w:lvlText w:val="%2."/>
      <w:lvlJc w:val="left"/>
      <w:pPr>
        <w:ind w:left="2145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D164E"/>
    <w:multiLevelType w:val="hybridMultilevel"/>
    <w:tmpl w:val="FCF2926E"/>
    <w:lvl w:ilvl="0" w:tplc="17403B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54B6B"/>
    <w:multiLevelType w:val="hybridMultilevel"/>
    <w:tmpl w:val="425046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A173A"/>
    <w:rsid w:val="000D298C"/>
    <w:rsid w:val="000D6B86"/>
    <w:rsid w:val="000E1E16"/>
    <w:rsid w:val="000E2AA4"/>
    <w:rsid w:val="00105C05"/>
    <w:rsid w:val="00116F61"/>
    <w:rsid w:val="00137F88"/>
    <w:rsid w:val="0014641E"/>
    <w:rsid w:val="0015233E"/>
    <w:rsid w:val="00173917"/>
    <w:rsid w:val="001873B5"/>
    <w:rsid w:val="00197760"/>
    <w:rsid w:val="001B12DC"/>
    <w:rsid w:val="001B27DA"/>
    <w:rsid w:val="001B6E9F"/>
    <w:rsid w:val="001C11D2"/>
    <w:rsid w:val="001C161E"/>
    <w:rsid w:val="001C513F"/>
    <w:rsid w:val="001D4B25"/>
    <w:rsid w:val="001F0193"/>
    <w:rsid w:val="001F78C9"/>
    <w:rsid w:val="002259C4"/>
    <w:rsid w:val="00225A05"/>
    <w:rsid w:val="00236837"/>
    <w:rsid w:val="00246970"/>
    <w:rsid w:val="00256687"/>
    <w:rsid w:val="00274479"/>
    <w:rsid w:val="002A1CD4"/>
    <w:rsid w:val="002A1E17"/>
    <w:rsid w:val="002B19B9"/>
    <w:rsid w:val="002B650A"/>
    <w:rsid w:val="002D65BD"/>
    <w:rsid w:val="002E611C"/>
    <w:rsid w:val="002E7F32"/>
    <w:rsid w:val="002E7F66"/>
    <w:rsid w:val="00386CBA"/>
    <w:rsid w:val="003A67E1"/>
    <w:rsid w:val="003B0DFE"/>
    <w:rsid w:val="003B2F8A"/>
    <w:rsid w:val="003B61C8"/>
    <w:rsid w:val="003C2544"/>
    <w:rsid w:val="003C55E6"/>
    <w:rsid w:val="003D0894"/>
    <w:rsid w:val="003D568C"/>
    <w:rsid w:val="003E3B13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C7695"/>
    <w:rsid w:val="004E0DF4"/>
    <w:rsid w:val="004E2120"/>
    <w:rsid w:val="004E3ABD"/>
    <w:rsid w:val="004F0D6F"/>
    <w:rsid w:val="00500978"/>
    <w:rsid w:val="005122F6"/>
    <w:rsid w:val="005224B2"/>
    <w:rsid w:val="00531DFC"/>
    <w:rsid w:val="00541FF5"/>
    <w:rsid w:val="005800C7"/>
    <w:rsid w:val="00580A58"/>
    <w:rsid w:val="00582BB2"/>
    <w:rsid w:val="00586FDB"/>
    <w:rsid w:val="005B1203"/>
    <w:rsid w:val="005B49EF"/>
    <w:rsid w:val="005F184C"/>
    <w:rsid w:val="005F5B71"/>
    <w:rsid w:val="00612157"/>
    <w:rsid w:val="00622D7A"/>
    <w:rsid w:val="00627EA3"/>
    <w:rsid w:val="006455FE"/>
    <w:rsid w:val="006479DF"/>
    <w:rsid w:val="00660DCB"/>
    <w:rsid w:val="006719A0"/>
    <w:rsid w:val="00687102"/>
    <w:rsid w:val="006A5157"/>
    <w:rsid w:val="006A7DF2"/>
    <w:rsid w:val="006C689C"/>
    <w:rsid w:val="006C6A25"/>
    <w:rsid w:val="006D082A"/>
    <w:rsid w:val="006D3B82"/>
    <w:rsid w:val="006E5643"/>
    <w:rsid w:val="006F15B4"/>
    <w:rsid w:val="007144CB"/>
    <w:rsid w:val="0076414C"/>
    <w:rsid w:val="00765555"/>
    <w:rsid w:val="00771CC6"/>
    <w:rsid w:val="00776C28"/>
    <w:rsid w:val="00782970"/>
    <w:rsid w:val="007A60EF"/>
    <w:rsid w:val="007C5A08"/>
    <w:rsid w:val="007E0D84"/>
    <w:rsid w:val="007E2DF0"/>
    <w:rsid w:val="007F0D9A"/>
    <w:rsid w:val="00801225"/>
    <w:rsid w:val="00813EE6"/>
    <w:rsid w:val="0084743A"/>
    <w:rsid w:val="008743E6"/>
    <w:rsid w:val="008806AC"/>
    <w:rsid w:val="008B0732"/>
    <w:rsid w:val="008B5850"/>
    <w:rsid w:val="008C271F"/>
    <w:rsid w:val="008D0F9C"/>
    <w:rsid w:val="008D5665"/>
    <w:rsid w:val="008F2627"/>
    <w:rsid w:val="0090110D"/>
    <w:rsid w:val="00910CC6"/>
    <w:rsid w:val="00911D80"/>
    <w:rsid w:val="00926284"/>
    <w:rsid w:val="00976A29"/>
    <w:rsid w:val="00977CF6"/>
    <w:rsid w:val="009836CF"/>
    <w:rsid w:val="009B421D"/>
    <w:rsid w:val="009C582B"/>
    <w:rsid w:val="009C6749"/>
    <w:rsid w:val="009C7CAB"/>
    <w:rsid w:val="00A031E9"/>
    <w:rsid w:val="00A11B59"/>
    <w:rsid w:val="00A144AE"/>
    <w:rsid w:val="00A50953"/>
    <w:rsid w:val="00A670AE"/>
    <w:rsid w:val="00A9254C"/>
    <w:rsid w:val="00AA43F3"/>
    <w:rsid w:val="00AB755C"/>
    <w:rsid w:val="00AF35E0"/>
    <w:rsid w:val="00B12061"/>
    <w:rsid w:val="00B16D96"/>
    <w:rsid w:val="00B2064F"/>
    <w:rsid w:val="00B315E9"/>
    <w:rsid w:val="00B31AAF"/>
    <w:rsid w:val="00B4284E"/>
    <w:rsid w:val="00B53B4A"/>
    <w:rsid w:val="00B713AF"/>
    <w:rsid w:val="00B948E0"/>
    <w:rsid w:val="00BA13ED"/>
    <w:rsid w:val="00BA4376"/>
    <w:rsid w:val="00BC4BAC"/>
    <w:rsid w:val="00C14AAA"/>
    <w:rsid w:val="00C214B6"/>
    <w:rsid w:val="00C348A2"/>
    <w:rsid w:val="00C53567"/>
    <w:rsid w:val="00C6439D"/>
    <w:rsid w:val="00C76803"/>
    <w:rsid w:val="00C92BF0"/>
    <w:rsid w:val="00CA208E"/>
    <w:rsid w:val="00CB33DE"/>
    <w:rsid w:val="00CD3D13"/>
    <w:rsid w:val="00CD7265"/>
    <w:rsid w:val="00D05350"/>
    <w:rsid w:val="00D064C7"/>
    <w:rsid w:val="00D61BB6"/>
    <w:rsid w:val="00D86DA2"/>
    <w:rsid w:val="00DA50A5"/>
    <w:rsid w:val="00DA56B1"/>
    <w:rsid w:val="00DB1BDB"/>
    <w:rsid w:val="00DB3113"/>
    <w:rsid w:val="00DB798B"/>
    <w:rsid w:val="00E20CE7"/>
    <w:rsid w:val="00E52D37"/>
    <w:rsid w:val="00E5416A"/>
    <w:rsid w:val="00E5502C"/>
    <w:rsid w:val="00E742C1"/>
    <w:rsid w:val="00E742D1"/>
    <w:rsid w:val="00E74EA1"/>
    <w:rsid w:val="00E7702D"/>
    <w:rsid w:val="00EC2867"/>
    <w:rsid w:val="00ED5216"/>
    <w:rsid w:val="00EE414B"/>
    <w:rsid w:val="00EE70FE"/>
    <w:rsid w:val="00EF050A"/>
    <w:rsid w:val="00F0607A"/>
    <w:rsid w:val="00F10B9D"/>
    <w:rsid w:val="00F27075"/>
    <w:rsid w:val="00F351D2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2CD399E15E44BC59049896DE3876F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9F8FE-5875-4BB1-B44C-834477D02210}"/>
      </w:docPartPr>
      <w:docPartBody>
        <w:p w:rsidR="00000000" w:rsidRDefault="006A00BB" w:rsidP="006A00BB">
          <w:pPr>
            <w:pStyle w:val="A2CD399E15E44BC59049896DE3876F4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BDBD5E9AFED43D88630F59EEF6F5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D0DB2-B0D9-4E68-A677-A9455793427D}"/>
      </w:docPartPr>
      <w:docPartBody>
        <w:p w:rsidR="00000000" w:rsidRDefault="006A00BB" w:rsidP="006A00BB">
          <w:pPr>
            <w:pStyle w:val="4BDBD5E9AFED43D88630F59EEF6F57A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A83B83100D34684AA6555B817C65E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CF036-39CE-4F03-94FA-BAA2F245F74D}"/>
      </w:docPartPr>
      <w:docPartBody>
        <w:p w:rsidR="00000000" w:rsidRDefault="006A00BB" w:rsidP="006A00BB">
          <w:pPr>
            <w:pStyle w:val="4A83B83100D34684AA6555B817C65EF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FE876A387444EF2A291CC97E01B2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BB09BD-435C-4663-B6FB-B3BD508523DA}"/>
      </w:docPartPr>
      <w:docPartBody>
        <w:p w:rsidR="00000000" w:rsidRDefault="006A00BB" w:rsidP="006A00BB">
          <w:pPr>
            <w:pStyle w:val="8FE876A387444EF2A291CC97E01B2E5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0F1BB4"/>
    <w:rsid w:val="00140858"/>
    <w:rsid w:val="00171105"/>
    <w:rsid w:val="00175388"/>
    <w:rsid w:val="00217F9E"/>
    <w:rsid w:val="002C3A22"/>
    <w:rsid w:val="003D2703"/>
    <w:rsid w:val="0052622A"/>
    <w:rsid w:val="00616C33"/>
    <w:rsid w:val="006A00BB"/>
    <w:rsid w:val="006E7D02"/>
    <w:rsid w:val="008225C7"/>
    <w:rsid w:val="00845353"/>
    <w:rsid w:val="0085402B"/>
    <w:rsid w:val="008612A8"/>
    <w:rsid w:val="008F33D9"/>
    <w:rsid w:val="0092092C"/>
    <w:rsid w:val="00932092"/>
    <w:rsid w:val="00AB3DBF"/>
    <w:rsid w:val="00B12684"/>
    <w:rsid w:val="00C16CB5"/>
    <w:rsid w:val="00C406DF"/>
    <w:rsid w:val="00CE2D99"/>
    <w:rsid w:val="00DF1217"/>
    <w:rsid w:val="00E32DAF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00BB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7BC5FAC939A445F9515A7C8AAFC929A">
    <w:name w:val="07BC5FAC939A445F9515A7C8AAFC929A"/>
    <w:rsid w:val="00932092"/>
  </w:style>
  <w:style w:type="paragraph" w:customStyle="1" w:styleId="FB7ED36CB39B4161B21682BB9A4CC239">
    <w:name w:val="FB7ED36CB39B4161B21682BB9A4CC239"/>
    <w:rsid w:val="00932092"/>
  </w:style>
  <w:style w:type="paragraph" w:customStyle="1" w:styleId="0F696797BF734BE28AEBCB01CA626FE8">
    <w:name w:val="0F696797BF734BE28AEBCB01CA626FE8"/>
    <w:rsid w:val="006A00BB"/>
  </w:style>
  <w:style w:type="paragraph" w:customStyle="1" w:styleId="A2CD399E15E44BC59049896DE3876F4A">
    <w:name w:val="A2CD399E15E44BC59049896DE3876F4A"/>
    <w:rsid w:val="006A00BB"/>
  </w:style>
  <w:style w:type="paragraph" w:customStyle="1" w:styleId="0ACAF7862E5C48BFB7526F24D58ED67A">
    <w:name w:val="0ACAF7862E5C48BFB7526F24D58ED67A"/>
    <w:rsid w:val="006A00BB"/>
  </w:style>
  <w:style w:type="paragraph" w:customStyle="1" w:styleId="4BDBD5E9AFED43D88630F59EEF6F57A6">
    <w:name w:val="4BDBD5E9AFED43D88630F59EEF6F57A6"/>
    <w:rsid w:val="006A00BB"/>
  </w:style>
  <w:style w:type="paragraph" w:customStyle="1" w:styleId="D4A453E4FEA541E6A40442B4D718A7D1">
    <w:name w:val="D4A453E4FEA541E6A40442B4D718A7D1"/>
    <w:rsid w:val="006A00BB"/>
  </w:style>
  <w:style w:type="paragraph" w:customStyle="1" w:styleId="8CB95B9A49A447E0AE99E23B8438FB28">
    <w:name w:val="8CB95B9A49A447E0AE99E23B8438FB28"/>
    <w:rsid w:val="006A00BB"/>
  </w:style>
  <w:style w:type="paragraph" w:customStyle="1" w:styleId="4A83B83100D34684AA6555B817C65EF7">
    <w:name w:val="4A83B83100D34684AA6555B817C65EF7"/>
    <w:rsid w:val="006A00BB"/>
  </w:style>
  <w:style w:type="paragraph" w:customStyle="1" w:styleId="8FE876A387444EF2A291CC97E01B2E52">
    <w:name w:val="8FE876A387444EF2A291CC97E01B2E52"/>
    <w:rsid w:val="006A00B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00BB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7BC5FAC939A445F9515A7C8AAFC929A">
    <w:name w:val="07BC5FAC939A445F9515A7C8AAFC929A"/>
    <w:rsid w:val="00932092"/>
  </w:style>
  <w:style w:type="paragraph" w:customStyle="1" w:styleId="FB7ED36CB39B4161B21682BB9A4CC239">
    <w:name w:val="FB7ED36CB39B4161B21682BB9A4CC239"/>
    <w:rsid w:val="00932092"/>
  </w:style>
  <w:style w:type="paragraph" w:customStyle="1" w:styleId="0F696797BF734BE28AEBCB01CA626FE8">
    <w:name w:val="0F696797BF734BE28AEBCB01CA626FE8"/>
    <w:rsid w:val="006A00BB"/>
  </w:style>
  <w:style w:type="paragraph" w:customStyle="1" w:styleId="A2CD399E15E44BC59049896DE3876F4A">
    <w:name w:val="A2CD399E15E44BC59049896DE3876F4A"/>
    <w:rsid w:val="006A00BB"/>
  </w:style>
  <w:style w:type="paragraph" w:customStyle="1" w:styleId="0ACAF7862E5C48BFB7526F24D58ED67A">
    <w:name w:val="0ACAF7862E5C48BFB7526F24D58ED67A"/>
    <w:rsid w:val="006A00BB"/>
  </w:style>
  <w:style w:type="paragraph" w:customStyle="1" w:styleId="4BDBD5E9AFED43D88630F59EEF6F57A6">
    <w:name w:val="4BDBD5E9AFED43D88630F59EEF6F57A6"/>
    <w:rsid w:val="006A00BB"/>
  </w:style>
  <w:style w:type="paragraph" w:customStyle="1" w:styleId="D4A453E4FEA541E6A40442B4D718A7D1">
    <w:name w:val="D4A453E4FEA541E6A40442B4D718A7D1"/>
    <w:rsid w:val="006A00BB"/>
  </w:style>
  <w:style w:type="paragraph" w:customStyle="1" w:styleId="8CB95B9A49A447E0AE99E23B8438FB28">
    <w:name w:val="8CB95B9A49A447E0AE99E23B8438FB28"/>
    <w:rsid w:val="006A00BB"/>
  </w:style>
  <w:style w:type="paragraph" w:customStyle="1" w:styleId="4A83B83100D34684AA6555B817C65EF7">
    <w:name w:val="4A83B83100D34684AA6555B817C65EF7"/>
    <w:rsid w:val="006A00BB"/>
  </w:style>
  <w:style w:type="paragraph" w:customStyle="1" w:styleId="8FE876A387444EF2A291CC97E01B2E52">
    <w:name w:val="8FE876A387444EF2A291CC97E01B2E52"/>
    <w:rsid w:val="006A0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0A3B-116C-4ED6-A8FE-51AEC13B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6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72</cp:revision>
  <cp:lastPrinted>2014-06-27T08:05:00Z</cp:lastPrinted>
  <dcterms:created xsi:type="dcterms:W3CDTF">2014-07-08T13:42:00Z</dcterms:created>
  <dcterms:modified xsi:type="dcterms:W3CDTF">2014-12-17T11:47:00Z</dcterms:modified>
</cp:coreProperties>
</file>